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707A" w14:textId="52451C5D" w:rsidR="006C5D54" w:rsidRPr="0098285F" w:rsidRDefault="0098285F">
      <w:pPr>
        <w:rPr>
          <w:b/>
          <w:bCs/>
          <w:sz w:val="28"/>
          <w:szCs w:val="28"/>
        </w:rPr>
      </w:pPr>
      <w:r w:rsidRPr="0098285F">
        <w:rPr>
          <w:b/>
          <w:bCs/>
          <w:sz w:val="28"/>
          <w:szCs w:val="28"/>
        </w:rPr>
        <w:t>LE TRIANGLE asbl</w:t>
      </w:r>
      <w:r w:rsidR="00F52711">
        <w:rPr>
          <w:b/>
          <w:bCs/>
          <w:sz w:val="28"/>
          <w:szCs w:val="28"/>
        </w:rPr>
        <w:t xml:space="preserve"> - </w:t>
      </w:r>
      <w:r w:rsidRPr="0098285F">
        <w:rPr>
          <w:b/>
          <w:bCs/>
          <w:sz w:val="28"/>
          <w:szCs w:val="28"/>
        </w:rPr>
        <w:t>SITUATION DU DOSSIER le 05/102023</w:t>
      </w:r>
    </w:p>
    <w:p w14:paraId="0FC16BCC" w14:textId="77777777" w:rsidR="0098285F" w:rsidRDefault="0098285F"/>
    <w:p w14:paraId="654BC7CB" w14:textId="0DAA0700" w:rsidR="0098285F" w:rsidRDefault="0098285F" w:rsidP="0098285F">
      <w:pPr>
        <w:pStyle w:val="Titre1"/>
      </w:pPr>
      <w:r w:rsidRPr="0098285F">
        <w:t>Evolution des études</w:t>
      </w:r>
    </w:p>
    <w:p w14:paraId="6D49205C" w14:textId="77777777" w:rsidR="0098285F" w:rsidRDefault="0098285F" w:rsidP="0098285F">
      <w:r>
        <w:t xml:space="preserve">Architecte : </w:t>
      </w:r>
    </w:p>
    <w:p w14:paraId="7D255329" w14:textId="21301200" w:rsidR="0098285F" w:rsidRDefault="0098285F" w:rsidP="0098285F">
      <w:pPr>
        <w:pStyle w:val="Paragraphedeliste"/>
        <w:numPr>
          <w:ilvl w:val="0"/>
          <w:numId w:val="1"/>
        </w:numPr>
      </w:pPr>
      <w:r>
        <w:t>Le dossier d’exécution est en voie de finalisation </w:t>
      </w:r>
    </w:p>
    <w:p w14:paraId="4EBD3BCE" w14:textId="6253DA46" w:rsidR="0098285F" w:rsidRDefault="0098285F" w:rsidP="0098285F">
      <w:pPr>
        <w:pStyle w:val="Paragraphedeliste"/>
        <w:numPr>
          <w:ilvl w:val="0"/>
          <w:numId w:val="1"/>
        </w:numPr>
      </w:pPr>
      <w:r>
        <w:t>Nous devrions recevoir une pré-version la semaine prochaine</w:t>
      </w:r>
    </w:p>
    <w:p w14:paraId="2E716924" w14:textId="7C88E321" w:rsidR="0098285F" w:rsidRDefault="0098285F" w:rsidP="0098285F">
      <w:r>
        <w:t>Ingénieur :</w:t>
      </w:r>
    </w:p>
    <w:p w14:paraId="4C09CBD4" w14:textId="099764E7" w:rsidR="0098285F" w:rsidRDefault="0098285F" w:rsidP="0098285F">
      <w:pPr>
        <w:pStyle w:val="Paragraphedeliste"/>
        <w:numPr>
          <w:ilvl w:val="0"/>
          <w:numId w:val="1"/>
        </w:numPr>
      </w:pPr>
      <w:r>
        <w:t>Les premiers plans d’exécution ont été refusés par Le Triangle</w:t>
      </w:r>
    </w:p>
    <w:p w14:paraId="6BDE3006" w14:textId="3F8AEA10" w:rsidR="0098285F" w:rsidRDefault="0098285F" w:rsidP="0098285F">
      <w:pPr>
        <w:pStyle w:val="Paragraphedeliste"/>
        <w:numPr>
          <w:ilvl w:val="0"/>
          <w:numId w:val="1"/>
        </w:numPr>
      </w:pPr>
      <w:r>
        <w:t>Les nouveaux sont en cours et devraient nous être présentés dans les 8 jours</w:t>
      </w:r>
    </w:p>
    <w:p w14:paraId="065DF6D0" w14:textId="77777777" w:rsidR="0098285F" w:rsidRDefault="0098285F" w:rsidP="0098285F"/>
    <w:p w14:paraId="3AC0E225" w14:textId="54B42C9E" w:rsidR="0098285F" w:rsidRDefault="0098285F" w:rsidP="0098285F">
      <w:pPr>
        <w:pStyle w:val="Titre1"/>
      </w:pPr>
      <w:r>
        <w:t>Evolution des demandes de dons</w:t>
      </w:r>
    </w:p>
    <w:p w14:paraId="6FD7F984" w14:textId="77777777" w:rsidR="0098285F" w:rsidRDefault="0098285F" w:rsidP="0098285F"/>
    <w:p w14:paraId="0B55B31B" w14:textId="77777777" w:rsidR="0098285F" w:rsidRPr="009931F8" w:rsidRDefault="0098285F" w:rsidP="0098285F">
      <w:pPr>
        <w:rPr>
          <w:sz w:val="4"/>
          <w:szCs w:val="4"/>
          <w:lang w:eastAsia="fr-FR"/>
        </w:rPr>
      </w:pPr>
      <w:r w:rsidRPr="009931F8">
        <w:rPr>
          <w:sz w:val="4"/>
          <w:szCs w:val="4"/>
          <w:lang w:eastAsia="fr-FR"/>
        </w:rPr>
        <w:t xml:space="preserve">     </w:t>
      </w:r>
    </w:p>
    <w:p w14:paraId="71C4D6C4" w14:textId="77777777" w:rsidR="0098285F" w:rsidRDefault="0098285F" w:rsidP="0098285F">
      <w:pPr>
        <w:rPr>
          <w:lang w:eastAsia="fr-FR"/>
        </w:rPr>
      </w:pPr>
      <w:r w:rsidRPr="00D346A0">
        <w:rPr>
          <w:noProof/>
        </w:rPr>
        <w:drawing>
          <wp:inline distT="0" distB="0" distL="0" distR="0" wp14:anchorId="18FA89A0" wp14:editId="5E7E8DB9">
            <wp:extent cx="2819400" cy="1138501"/>
            <wp:effectExtent l="0" t="0" r="0" b="5080"/>
            <wp:docPr id="14058230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9732" cy="1146711"/>
                    </a:xfrm>
                    <a:prstGeom prst="rect">
                      <a:avLst/>
                    </a:prstGeom>
                    <a:noFill/>
                    <a:ln>
                      <a:noFill/>
                    </a:ln>
                  </pic:spPr>
                </pic:pic>
              </a:graphicData>
            </a:graphic>
          </wp:inline>
        </w:drawing>
      </w:r>
    </w:p>
    <w:p w14:paraId="277013BE" w14:textId="77777777" w:rsidR="0098285F" w:rsidRPr="009931F8" w:rsidRDefault="0098285F" w:rsidP="0098285F">
      <w:pPr>
        <w:rPr>
          <w:sz w:val="4"/>
          <w:szCs w:val="4"/>
          <w:lang w:eastAsia="fr-FR"/>
        </w:rPr>
      </w:pPr>
      <w:r w:rsidRPr="009931F8">
        <w:rPr>
          <w:sz w:val="4"/>
          <w:szCs w:val="4"/>
          <w:lang w:eastAsia="fr-FR"/>
        </w:rPr>
        <w:t xml:space="preserve">     </w:t>
      </w:r>
    </w:p>
    <w:p w14:paraId="11B2214A" w14:textId="77777777" w:rsidR="0098285F" w:rsidRDefault="0098285F" w:rsidP="0098285F">
      <w:pPr>
        <w:rPr>
          <w:lang w:eastAsia="fr-FR"/>
        </w:rPr>
      </w:pPr>
      <w:r w:rsidRPr="00D346A0">
        <w:rPr>
          <w:noProof/>
        </w:rPr>
        <w:drawing>
          <wp:inline distT="0" distB="0" distL="0" distR="0" wp14:anchorId="380FE0CD" wp14:editId="542FF635">
            <wp:extent cx="3562350" cy="1579779"/>
            <wp:effectExtent l="0" t="0" r="0" b="1905"/>
            <wp:docPr id="69032706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5783" cy="1585736"/>
                    </a:xfrm>
                    <a:prstGeom prst="rect">
                      <a:avLst/>
                    </a:prstGeom>
                    <a:noFill/>
                    <a:ln>
                      <a:noFill/>
                    </a:ln>
                  </pic:spPr>
                </pic:pic>
              </a:graphicData>
            </a:graphic>
          </wp:inline>
        </w:drawing>
      </w:r>
    </w:p>
    <w:p w14:paraId="79B3CF5F" w14:textId="77777777" w:rsidR="0098285F" w:rsidRPr="009931F8" w:rsidRDefault="0098285F" w:rsidP="0098285F">
      <w:pPr>
        <w:rPr>
          <w:sz w:val="6"/>
          <w:szCs w:val="6"/>
          <w:lang w:eastAsia="fr-FR"/>
        </w:rPr>
      </w:pPr>
      <w:r w:rsidRPr="009931F8">
        <w:rPr>
          <w:sz w:val="6"/>
          <w:szCs w:val="6"/>
          <w:lang w:eastAsia="fr-FR"/>
        </w:rPr>
        <w:t xml:space="preserve">     </w:t>
      </w:r>
    </w:p>
    <w:p w14:paraId="02277843" w14:textId="2F92F24D" w:rsidR="0098285F" w:rsidRDefault="0098285F" w:rsidP="0098285F">
      <w:pPr>
        <w:rPr>
          <w:lang w:eastAsia="fr-FR"/>
        </w:rPr>
      </w:pPr>
      <w:r>
        <w:rPr>
          <w:lang w:eastAsia="fr-FR"/>
        </w:rPr>
        <w:t>Pour ce solde, les appels suivants sont introduits :</w:t>
      </w:r>
      <w:r>
        <w:rPr>
          <w:lang w:eastAsia="fr-FR"/>
        </w:rPr>
        <w:tab/>
      </w:r>
      <w:r>
        <w:rPr>
          <w:lang w:eastAsia="fr-FR"/>
        </w:rPr>
        <w:tab/>
      </w:r>
      <w:r>
        <w:rPr>
          <w:lang w:eastAsia="fr-FR"/>
        </w:rPr>
        <w:tab/>
      </w:r>
      <w:r>
        <w:rPr>
          <w:lang w:eastAsia="fr-FR"/>
        </w:rPr>
        <w:tab/>
      </w:r>
    </w:p>
    <w:tbl>
      <w:tblPr>
        <w:tblStyle w:val="Grilledutableau"/>
        <w:tblW w:w="9209" w:type="dxa"/>
        <w:tblLook w:val="04A0" w:firstRow="1" w:lastRow="0" w:firstColumn="1" w:lastColumn="0" w:noHBand="0" w:noVBand="1"/>
      </w:tblPr>
      <w:tblGrid>
        <w:gridCol w:w="3539"/>
        <w:gridCol w:w="1418"/>
        <w:gridCol w:w="1134"/>
        <w:gridCol w:w="1559"/>
        <w:gridCol w:w="1559"/>
      </w:tblGrid>
      <w:tr w:rsidR="0098285F" w14:paraId="47450BA2" w14:textId="77777777" w:rsidTr="0098285F">
        <w:tc>
          <w:tcPr>
            <w:tcW w:w="3539" w:type="dxa"/>
          </w:tcPr>
          <w:p w14:paraId="30E3C57D" w14:textId="47C91AE4" w:rsidR="0098285F" w:rsidRDefault="0098285F" w:rsidP="0098285F">
            <w:pPr>
              <w:rPr>
                <w:lang w:eastAsia="fr-FR"/>
              </w:rPr>
            </w:pPr>
            <w:r>
              <w:rPr>
                <w:lang w:eastAsia="fr-FR"/>
              </w:rPr>
              <w:t>Origine</w:t>
            </w:r>
          </w:p>
        </w:tc>
        <w:tc>
          <w:tcPr>
            <w:tcW w:w="1418" w:type="dxa"/>
          </w:tcPr>
          <w:p w14:paraId="2D1C1F48" w14:textId="5FD12D1E" w:rsidR="0098285F" w:rsidRDefault="0098285F" w:rsidP="0098285F">
            <w:pPr>
              <w:rPr>
                <w:lang w:eastAsia="fr-FR"/>
              </w:rPr>
            </w:pPr>
            <w:r>
              <w:rPr>
                <w:lang w:eastAsia="fr-FR"/>
              </w:rPr>
              <w:t>Demande</w:t>
            </w:r>
          </w:p>
        </w:tc>
        <w:tc>
          <w:tcPr>
            <w:tcW w:w="1134" w:type="dxa"/>
          </w:tcPr>
          <w:p w14:paraId="2AE8E2F3" w14:textId="78157944" w:rsidR="0098285F" w:rsidRDefault="0098285F" w:rsidP="0098285F">
            <w:pPr>
              <w:rPr>
                <w:lang w:eastAsia="fr-FR"/>
              </w:rPr>
            </w:pPr>
            <w:r>
              <w:rPr>
                <w:lang w:eastAsia="fr-FR"/>
              </w:rPr>
              <w:t>Fiabilité</w:t>
            </w:r>
          </w:p>
        </w:tc>
        <w:tc>
          <w:tcPr>
            <w:tcW w:w="1559" w:type="dxa"/>
          </w:tcPr>
          <w:p w14:paraId="43575D4B" w14:textId="1D9C46CD" w:rsidR="0098285F" w:rsidRDefault="0098285F" w:rsidP="0098285F">
            <w:pPr>
              <w:rPr>
                <w:lang w:eastAsia="fr-FR"/>
              </w:rPr>
            </w:pPr>
            <w:r>
              <w:rPr>
                <w:lang w:eastAsia="fr-FR"/>
              </w:rPr>
              <w:t>Prévision min</w:t>
            </w:r>
          </w:p>
        </w:tc>
        <w:tc>
          <w:tcPr>
            <w:tcW w:w="1559" w:type="dxa"/>
          </w:tcPr>
          <w:p w14:paraId="09A2D7FF" w14:textId="70DE0810" w:rsidR="0098285F" w:rsidRDefault="0098285F" w:rsidP="0098285F">
            <w:pPr>
              <w:rPr>
                <w:lang w:eastAsia="fr-FR"/>
              </w:rPr>
            </w:pPr>
            <w:r>
              <w:rPr>
                <w:lang w:eastAsia="fr-FR"/>
              </w:rPr>
              <w:t>Prévision max</w:t>
            </w:r>
          </w:p>
        </w:tc>
      </w:tr>
      <w:tr w:rsidR="0098285F" w14:paraId="4DD66584" w14:textId="77777777" w:rsidTr="0098285F">
        <w:tc>
          <w:tcPr>
            <w:tcW w:w="3539" w:type="dxa"/>
          </w:tcPr>
          <w:p w14:paraId="3EDC0FF5" w14:textId="03198778" w:rsidR="0098285F" w:rsidRDefault="0098285F" w:rsidP="0098285F">
            <w:pPr>
              <w:rPr>
                <w:lang w:eastAsia="fr-FR"/>
              </w:rPr>
            </w:pPr>
            <w:r>
              <w:rPr>
                <w:lang w:eastAsia="fr-FR"/>
              </w:rPr>
              <w:t>Fondation NIF.</w:t>
            </w:r>
          </w:p>
        </w:tc>
        <w:tc>
          <w:tcPr>
            <w:tcW w:w="1418" w:type="dxa"/>
          </w:tcPr>
          <w:p w14:paraId="1B5CF622" w14:textId="07E3481E" w:rsidR="0098285F" w:rsidRDefault="0098285F" w:rsidP="00597BF2">
            <w:pPr>
              <w:jc w:val="center"/>
              <w:rPr>
                <w:lang w:eastAsia="fr-FR"/>
              </w:rPr>
            </w:pPr>
            <w:r>
              <w:rPr>
                <w:lang w:eastAsia="fr-FR"/>
              </w:rPr>
              <w:t>200.000 €</w:t>
            </w:r>
          </w:p>
        </w:tc>
        <w:tc>
          <w:tcPr>
            <w:tcW w:w="1134" w:type="dxa"/>
          </w:tcPr>
          <w:p w14:paraId="585B3ECE" w14:textId="58350F3C" w:rsidR="0098285F" w:rsidRDefault="0098285F" w:rsidP="00597BF2">
            <w:pPr>
              <w:jc w:val="center"/>
              <w:rPr>
                <w:lang w:eastAsia="fr-FR"/>
              </w:rPr>
            </w:pPr>
            <w:r>
              <w:rPr>
                <w:lang w:eastAsia="fr-FR"/>
              </w:rPr>
              <w:t>90%</w:t>
            </w:r>
          </w:p>
        </w:tc>
        <w:tc>
          <w:tcPr>
            <w:tcW w:w="1559" w:type="dxa"/>
          </w:tcPr>
          <w:p w14:paraId="3F85577A" w14:textId="6A193DF3" w:rsidR="0098285F" w:rsidRDefault="0098285F" w:rsidP="00597BF2">
            <w:pPr>
              <w:jc w:val="center"/>
              <w:rPr>
                <w:lang w:eastAsia="fr-FR"/>
              </w:rPr>
            </w:pPr>
            <w:r>
              <w:rPr>
                <w:lang w:eastAsia="fr-FR"/>
              </w:rPr>
              <w:t>100.000 €</w:t>
            </w:r>
          </w:p>
        </w:tc>
        <w:tc>
          <w:tcPr>
            <w:tcW w:w="1559" w:type="dxa"/>
          </w:tcPr>
          <w:p w14:paraId="7979B9B6" w14:textId="02D5628E" w:rsidR="0098285F" w:rsidRDefault="0098285F" w:rsidP="00597BF2">
            <w:pPr>
              <w:jc w:val="center"/>
              <w:rPr>
                <w:lang w:eastAsia="fr-FR"/>
              </w:rPr>
            </w:pPr>
            <w:r>
              <w:rPr>
                <w:lang w:eastAsia="fr-FR"/>
              </w:rPr>
              <w:t>200.000 €</w:t>
            </w:r>
          </w:p>
        </w:tc>
      </w:tr>
      <w:tr w:rsidR="0098285F" w14:paraId="0AFB464F" w14:textId="77777777" w:rsidTr="0098285F">
        <w:tc>
          <w:tcPr>
            <w:tcW w:w="3539" w:type="dxa"/>
          </w:tcPr>
          <w:p w14:paraId="214DC410" w14:textId="77777777" w:rsidR="0098285F" w:rsidRDefault="0098285F" w:rsidP="0098285F">
            <w:pPr>
              <w:rPr>
                <w:lang w:eastAsia="fr-FR"/>
              </w:rPr>
            </w:pPr>
            <w:r>
              <w:rPr>
                <w:lang w:eastAsia="fr-FR"/>
              </w:rPr>
              <w:t xml:space="preserve">Fondation Roi Bauduin </w:t>
            </w:r>
          </w:p>
          <w:p w14:paraId="35015019" w14:textId="00DC5FA4" w:rsidR="0098285F" w:rsidRDefault="0098285F" w:rsidP="0098285F">
            <w:pPr>
              <w:rPr>
                <w:lang w:eastAsia="fr-FR"/>
              </w:rPr>
            </w:pPr>
            <w:r w:rsidRPr="00D346A0">
              <w:rPr>
                <w:lang w:eastAsia="fr-FR"/>
              </w:rPr>
              <w:t xml:space="preserve">“Impact </w:t>
            </w:r>
            <w:proofErr w:type="spellStart"/>
            <w:r w:rsidRPr="00D346A0">
              <w:rPr>
                <w:lang w:eastAsia="fr-FR"/>
              </w:rPr>
              <w:t>Together</w:t>
            </w:r>
            <w:proofErr w:type="spellEnd"/>
            <w:r w:rsidRPr="00D346A0">
              <w:rPr>
                <w:lang w:eastAsia="fr-FR"/>
              </w:rPr>
              <w:t xml:space="preserve"> by BNPPF: Efficacité énergétique”</w:t>
            </w:r>
          </w:p>
        </w:tc>
        <w:tc>
          <w:tcPr>
            <w:tcW w:w="1418" w:type="dxa"/>
          </w:tcPr>
          <w:p w14:paraId="0E6A8C14" w14:textId="3A1B8121" w:rsidR="0098285F" w:rsidRDefault="0098285F" w:rsidP="00597BF2">
            <w:pPr>
              <w:jc w:val="center"/>
              <w:rPr>
                <w:lang w:eastAsia="fr-FR"/>
              </w:rPr>
            </w:pPr>
            <w:r>
              <w:rPr>
                <w:lang w:eastAsia="fr-FR"/>
              </w:rPr>
              <w:t>200.000 €</w:t>
            </w:r>
          </w:p>
        </w:tc>
        <w:tc>
          <w:tcPr>
            <w:tcW w:w="1134" w:type="dxa"/>
          </w:tcPr>
          <w:p w14:paraId="288C8933" w14:textId="6C3BFB54" w:rsidR="0098285F" w:rsidRDefault="0098285F" w:rsidP="00597BF2">
            <w:pPr>
              <w:jc w:val="center"/>
              <w:rPr>
                <w:lang w:eastAsia="fr-FR"/>
              </w:rPr>
            </w:pPr>
            <w:r>
              <w:rPr>
                <w:lang w:eastAsia="fr-FR"/>
              </w:rPr>
              <w:t>50%</w:t>
            </w:r>
          </w:p>
        </w:tc>
        <w:tc>
          <w:tcPr>
            <w:tcW w:w="1559" w:type="dxa"/>
          </w:tcPr>
          <w:p w14:paraId="32782A44" w14:textId="00269090" w:rsidR="0098285F" w:rsidRDefault="0098285F" w:rsidP="00597BF2">
            <w:pPr>
              <w:jc w:val="center"/>
              <w:rPr>
                <w:lang w:eastAsia="fr-FR"/>
              </w:rPr>
            </w:pPr>
            <w:r>
              <w:rPr>
                <w:lang w:eastAsia="fr-FR"/>
              </w:rPr>
              <w:t>100.000 €</w:t>
            </w:r>
          </w:p>
        </w:tc>
        <w:tc>
          <w:tcPr>
            <w:tcW w:w="1559" w:type="dxa"/>
          </w:tcPr>
          <w:p w14:paraId="46FA4A25" w14:textId="23C07F9C" w:rsidR="0098285F" w:rsidRDefault="0098285F" w:rsidP="00597BF2">
            <w:pPr>
              <w:jc w:val="center"/>
              <w:rPr>
                <w:lang w:eastAsia="fr-FR"/>
              </w:rPr>
            </w:pPr>
            <w:r>
              <w:rPr>
                <w:lang w:eastAsia="fr-FR"/>
              </w:rPr>
              <w:t>200.000 €</w:t>
            </w:r>
          </w:p>
        </w:tc>
      </w:tr>
      <w:tr w:rsidR="0098285F" w14:paraId="7EE82628" w14:textId="77777777" w:rsidTr="0098285F">
        <w:tc>
          <w:tcPr>
            <w:tcW w:w="3539" w:type="dxa"/>
          </w:tcPr>
          <w:p w14:paraId="796B5B24" w14:textId="77777777" w:rsidR="0098285F" w:rsidRDefault="0098285F" w:rsidP="0098285F">
            <w:pPr>
              <w:rPr>
                <w:lang w:eastAsia="fr-FR"/>
              </w:rPr>
            </w:pPr>
            <w:r>
              <w:rPr>
                <w:lang w:eastAsia="fr-FR"/>
              </w:rPr>
              <w:t>Moines de Chimay</w:t>
            </w:r>
          </w:p>
          <w:p w14:paraId="64C50882" w14:textId="1AEC6A90" w:rsidR="00597BF2" w:rsidRDefault="00597BF2" w:rsidP="0098285F">
            <w:pPr>
              <w:rPr>
                <w:lang w:eastAsia="fr-FR"/>
              </w:rPr>
            </w:pPr>
            <w:r>
              <w:rPr>
                <w:lang w:eastAsia="fr-FR"/>
              </w:rPr>
              <w:t>+ l’avance de fonds de ± 550.000 €</w:t>
            </w:r>
          </w:p>
        </w:tc>
        <w:tc>
          <w:tcPr>
            <w:tcW w:w="1418" w:type="dxa"/>
          </w:tcPr>
          <w:p w14:paraId="75E44BD3" w14:textId="682E441B" w:rsidR="0098285F" w:rsidRDefault="0098285F" w:rsidP="00597BF2">
            <w:pPr>
              <w:jc w:val="center"/>
              <w:rPr>
                <w:lang w:eastAsia="fr-FR"/>
              </w:rPr>
            </w:pPr>
            <w:r>
              <w:rPr>
                <w:lang w:eastAsia="fr-FR"/>
              </w:rPr>
              <w:t>100.000 €</w:t>
            </w:r>
          </w:p>
        </w:tc>
        <w:tc>
          <w:tcPr>
            <w:tcW w:w="1134" w:type="dxa"/>
          </w:tcPr>
          <w:p w14:paraId="523DCD5F" w14:textId="07120517" w:rsidR="0098285F" w:rsidRDefault="0098285F" w:rsidP="00597BF2">
            <w:pPr>
              <w:jc w:val="center"/>
              <w:rPr>
                <w:lang w:eastAsia="fr-FR"/>
              </w:rPr>
            </w:pPr>
            <w:r>
              <w:rPr>
                <w:lang w:eastAsia="fr-FR"/>
              </w:rPr>
              <w:t>75%</w:t>
            </w:r>
          </w:p>
        </w:tc>
        <w:tc>
          <w:tcPr>
            <w:tcW w:w="1559" w:type="dxa"/>
          </w:tcPr>
          <w:p w14:paraId="542EF7D8" w14:textId="77777777" w:rsidR="0098285F" w:rsidRDefault="0098285F" w:rsidP="00597BF2">
            <w:pPr>
              <w:jc w:val="center"/>
              <w:rPr>
                <w:lang w:eastAsia="fr-FR"/>
              </w:rPr>
            </w:pPr>
            <w:r>
              <w:rPr>
                <w:lang w:eastAsia="fr-FR"/>
              </w:rPr>
              <w:t>100.000 €</w:t>
            </w:r>
          </w:p>
          <w:p w14:paraId="27FC88C2" w14:textId="28E6F003" w:rsidR="00597BF2" w:rsidRDefault="00597BF2" w:rsidP="00597BF2">
            <w:pPr>
              <w:jc w:val="center"/>
              <w:rPr>
                <w:lang w:eastAsia="fr-FR"/>
              </w:rPr>
            </w:pPr>
            <w:r>
              <w:rPr>
                <w:lang w:eastAsia="fr-FR"/>
              </w:rPr>
              <w:t>?</w:t>
            </w:r>
          </w:p>
        </w:tc>
        <w:tc>
          <w:tcPr>
            <w:tcW w:w="1559" w:type="dxa"/>
          </w:tcPr>
          <w:p w14:paraId="13A1B5B7" w14:textId="77777777" w:rsidR="0098285F" w:rsidRDefault="0098285F" w:rsidP="00597BF2">
            <w:pPr>
              <w:jc w:val="center"/>
              <w:rPr>
                <w:lang w:eastAsia="fr-FR"/>
              </w:rPr>
            </w:pPr>
            <w:r>
              <w:rPr>
                <w:lang w:eastAsia="fr-FR"/>
              </w:rPr>
              <w:t>100.000 €</w:t>
            </w:r>
          </w:p>
          <w:p w14:paraId="1E174CC0" w14:textId="3DC4EB39" w:rsidR="00597BF2" w:rsidRDefault="00597BF2" w:rsidP="00597BF2">
            <w:pPr>
              <w:jc w:val="center"/>
              <w:rPr>
                <w:lang w:eastAsia="fr-FR"/>
              </w:rPr>
            </w:pPr>
            <w:r>
              <w:rPr>
                <w:lang w:eastAsia="fr-FR"/>
              </w:rPr>
              <w:t>?</w:t>
            </w:r>
          </w:p>
        </w:tc>
      </w:tr>
      <w:tr w:rsidR="00597BF2" w14:paraId="6A808BA6" w14:textId="77777777" w:rsidTr="0098285F">
        <w:tc>
          <w:tcPr>
            <w:tcW w:w="3539" w:type="dxa"/>
          </w:tcPr>
          <w:p w14:paraId="10EFDF31" w14:textId="61691E1E" w:rsidR="00597BF2" w:rsidRDefault="00597BF2" w:rsidP="0098285F">
            <w:pPr>
              <w:rPr>
                <w:lang w:eastAsia="fr-FR"/>
              </w:rPr>
            </w:pPr>
            <w:r>
              <w:rPr>
                <w:lang w:eastAsia="fr-FR"/>
              </w:rPr>
              <w:t xml:space="preserve">United </w:t>
            </w:r>
            <w:proofErr w:type="spellStart"/>
            <w:r>
              <w:rPr>
                <w:lang w:eastAsia="fr-FR"/>
              </w:rPr>
              <w:t>Fund</w:t>
            </w:r>
            <w:proofErr w:type="spellEnd"/>
            <w:r>
              <w:rPr>
                <w:lang w:eastAsia="fr-FR"/>
              </w:rPr>
              <w:t xml:space="preserve"> For </w:t>
            </w:r>
            <w:proofErr w:type="spellStart"/>
            <w:r>
              <w:rPr>
                <w:lang w:eastAsia="fr-FR"/>
              </w:rPr>
              <w:t>Belgium</w:t>
            </w:r>
            <w:proofErr w:type="spellEnd"/>
          </w:p>
        </w:tc>
        <w:tc>
          <w:tcPr>
            <w:tcW w:w="1418" w:type="dxa"/>
          </w:tcPr>
          <w:p w14:paraId="5D520CDA" w14:textId="59ABEBF5" w:rsidR="00597BF2" w:rsidRDefault="00597BF2" w:rsidP="00597BF2">
            <w:pPr>
              <w:jc w:val="center"/>
              <w:rPr>
                <w:lang w:eastAsia="fr-FR"/>
              </w:rPr>
            </w:pPr>
            <w:r>
              <w:rPr>
                <w:lang w:eastAsia="fr-FR"/>
              </w:rPr>
              <w:t>200.000 €</w:t>
            </w:r>
          </w:p>
        </w:tc>
        <w:tc>
          <w:tcPr>
            <w:tcW w:w="1134" w:type="dxa"/>
          </w:tcPr>
          <w:p w14:paraId="2FC3EDEC" w14:textId="4A0FA81B" w:rsidR="00597BF2" w:rsidRDefault="00597BF2" w:rsidP="00597BF2">
            <w:pPr>
              <w:jc w:val="center"/>
              <w:rPr>
                <w:lang w:eastAsia="fr-FR"/>
              </w:rPr>
            </w:pPr>
            <w:r>
              <w:rPr>
                <w:lang w:eastAsia="fr-FR"/>
              </w:rPr>
              <w:t>10%</w:t>
            </w:r>
          </w:p>
        </w:tc>
        <w:tc>
          <w:tcPr>
            <w:tcW w:w="1559" w:type="dxa"/>
          </w:tcPr>
          <w:p w14:paraId="0A8B51B3" w14:textId="6DC0E188" w:rsidR="00597BF2" w:rsidRDefault="00597BF2" w:rsidP="00597BF2">
            <w:pPr>
              <w:jc w:val="center"/>
              <w:rPr>
                <w:lang w:eastAsia="fr-FR"/>
              </w:rPr>
            </w:pPr>
            <w:r>
              <w:rPr>
                <w:lang w:eastAsia="fr-FR"/>
              </w:rPr>
              <w:t>0 €</w:t>
            </w:r>
          </w:p>
        </w:tc>
        <w:tc>
          <w:tcPr>
            <w:tcW w:w="1559" w:type="dxa"/>
          </w:tcPr>
          <w:p w14:paraId="1DCA0723" w14:textId="5DEEB78E" w:rsidR="00597BF2" w:rsidRDefault="00597BF2" w:rsidP="00597BF2">
            <w:pPr>
              <w:jc w:val="center"/>
              <w:rPr>
                <w:lang w:eastAsia="fr-FR"/>
              </w:rPr>
            </w:pPr>
            <w:r>
              <w:rPr>
                <w:lang w:eastAsia="fr-FR"/>
              </w:rPr>
              <w:t>100.000 €</w:t>
            </w:r>
          </w:p>
        </w:tc>
      </w:tr>
      <w:tr w:rsidR="00597BF2" w14:paraId="07E2BB68" w14:textId="77777777" w:rsidTr="0098285F">
        <w:tc>
          <w:tcPr>
            <w:tcW w:w="3539" w:type="dxa"/>
          </w:tcPr>
          <w:p w14:paraId="5930EFD7" w14:textId="08D3E878" w:rsidR="00597BF2" w:rsidRDefault="00597BF2" w:rsidP="0098285F">
            <w:pPr>
              <w:rPr>
                <w:lang w:eastAsia="fr-FR"/>
              </w:rPr>
            </w:pPr>
            <w:r>
              <w:rPr>
                <w:lang w:eastAsia="fr-FR"/>
              </w:rPr>
              <w:t>Fondation FRERE</w:t>
            </w:r>
          </w:p>
        </w:tc>
        <w:tc>
          <w:tcPr>
            <w:tcW w:w="1418" w:type="dxa"/>
          </w:tcPr>
          <w:p w14:paraId="456DEFBC" w14:textId="0DB5E6F0" w:rsidR="00597BF2" w:rsidRDefault="00597BF2" w:rsidP="00597BF2">
            <w:pPr>
              <w:jc w:val="center"/>
              <w:rPr>
                <w:lang w:eastAsia="fr-FR"/>
              </w:rPr>
            </w:pPr>
            <w:r>
              <w:rPr>
                <w:lang w:eastAsia="fr-FR"/>
              </w:rPr>
              <w:t>200.000 €</w:t>
            </w:r>
          </w:p>
        </w:tc>
        <w:tc>
          <w:tcPr>
            <w:tcW w:w="1134" w:type="dxa"/>
          </w:tcPr>
          <w:p w14:paraId="2592D6F7" w14:textId="47B8055A" w:rsidR="00597BF2" w:rsidRDefault="00597BF2" w:rsidP="00597BF2">
            <w:pPr>
              <w:jc w:val="center"/>
              <w:rPr>
                <w:lang w:eastAsia="fr-FR"/>
              </w:rPr>
            </w:pPr>
            <w:r>
              <w:rPr>
                <w:lang w:eastAsia="fr-FR"/>
              </w:rPr>
              <w:t>90%</w:t>
            </w:r>
          </w:p>
        </w:tc>
        <w:tc>
          <w:tcPr>
            <w:tcW w:w="1559" w:type="dxa"/>
          </w:tcPr>
          <w:p w14:paraId="0D4D8924" w14:textId="7CDF0F1F" w:rsidR="00597BF2" w:rsidRDefault="00F52711" w:rsidP="00597BF2">
            <w:pPr>
              <w:jc w:val="center"/>
              <w:rPr>
                <w:lang w:eastAsia="fr-FR"/>
              </w:rPr>
            </w:pPr>
            <w:r>
              <w:rPr>
                <w:lang w:eastAsia="fr-FR"/>
              </w:rPr>
              <w:t>15</w:t>
            </w:r>
            <w:r w:rsidR="00597BF2">
              <w:rPr>
                <w:lang w:eastAsia="fr-FR"/>
              </w:rPr>
              <w:t>0.000 €</w:t>
            </w:r>
          </w:p>
        </w:tc>
        <w:tc>
          <w:tcPr>
            <w:tcW w:w="1559" w:type="dxa"/>
          </w:tcPr>
          <w:p w14:paraId="7292E186" w14:textId="20FCAA84" w:rsidR="00597BF2" w:rsidRDefault="00597BF2" w:rsidP="00597BF2">
            <w:pPr>
              <w:jc w:val="center"/>
              <w:rPr>
                <w:lang w:eastAsia="fr-FR"/>
              </w:rPr>
            </w:pPr>
            <w:r>
              <w:rPr>
                <w:lang w:eastAsia="fr-FR"/>
              </w:rPr>
              <w:t>200.000 €</w:t>
            </w:r>
          </w:p>
        </w:tc>
      </w:tr>
      <w:tr w:rsidR="00597BF2" w14:paraId="0C1B40AD" w14:textId="77777777" w:rsidTr="0098285F">
        <w:tc>
          <w:tcPr>
            <w:tcW w:w="3539" w:type="dxa"/>
          </w:tcPr>
          <w:p w14:paraId="2C7CC9A5" w14:textId="41EF3EC7" w:rsidR="00597BF2" w:rsidRDefault="00597BF2" w:rsidP="0098285F">
            <w:pPr>
              <w:rPr>
                <w:lang w:eastAsia="fr-FR"/>
              </w:rPr>
            </w:pPr>
            <w:r>
              <w:rPr>
                <w:lang w:eastAsia="fr-FR"/>
              </w:rPr>
              <w:t>Caritas</w:t>
            </w:r>
          </w:p>
        </w:tc>
        <w:tc>
          <w:tcPr>
            <w:tcW w:w="1418" w:type="dxa"/>
          </w:tcPr>
          <w:p w14:paraId="4A50933C" w14:textId="711E398E" w:rsidR="00597BF2" w:rsidRDefault="00597BF2" w:rsidP="00597BF2">
            <w:pPr>
              <w:jc w:val="center"/>
              <w:rPr>
                <w:lang w:eastAsia="fr-FR"/>
              </w:rPr>
            </w:pPr>
            <w:r>
              <w:rPr>
                <w:lang w:eastAsia="fr-FR"/>
              </w:rPr>
              <w:t>En attente</w:t>
            </w:r>
          </w:p>
        </w:tc>
        <w:tc>
          <w:tcPr>
            <w:tcW w:w="1134" w:type="dxa"/>
          </w:tcPr>
          <w:p w14:paraId="102D4BE7" w14:textId="77777777" w:rsidR="00597BF2" w:rsidRDefault="00597BF2" w:rsidP="00597BF2">
            <w:pPr>
              <w:jc w:val="center"/>
              <w:rPr>
                <w:lang w:eastAsia="fr-FR"/>
              </w:rPr>
            </w:pPr>
          </w:p>
        </w:tc>
        <w:tc>
          <w:tcPr>
            <w:tcW w:w="1559" w:type="dxa"/>
          </w:tcPr>
          <w:p w14:paraId="34C58DFF" w14:textId="77777777" w:rsidR="00597BF2" w:rsidRDefault="00597BF2" w:rsidP="00597BF2">
            <w:pPr>
              <w:jc w:val="center"/>
              <w:rPr>
                <w:lang w:eastAsia="fr-FR"/>
              </w:rPr>
            </w:pPr>
          </w:p>
        </w:tc>
        <w:tc>
          <w:tcPr>
            <w:tcW w:w="1559" w:type="dxa"/>
          </w:tcPr>
          <w:p w14:paraId="19E54881" w14:textId="77777777" w:rsidR="00597BF2" w:rsidRDefault="00597BF2" w:rsidP="00597BF2">
            <w:pPr>
              <w:jc w:val="center"/>
              <w:rPr>
                <w:lang w:eastAsia="fr-FR"/>
              </w:rPr>
            </w:pPr>
          </w:p>
        </w:tc>
      </w:tr>
    </w:tbl>
    <w:p w14:paraId="214867D3" w14:textId="77777777" w:rsidR="00F52711" w:rsidRDefault="00F52711" w:rsidP="0098285F">
      <w:pPr>
        <w:rPr>
          <w:lang w:eastAsia="fr-FR"/>
        </w:rPr>
      </w:pPr>
    </w:p>
    <w:p w14:paraId="1600C0E9" w14:textId="03925EB8" w:rsidR="0098285F" w:rsidRDefault="0098285F" w:rsidP="0098285F">
      <w:pPr>
        <w:rPr>
          <w:lang w:eastAsia="fr-FR"/>
        </w:rPr>
      </w:pPr>
      <w:r>
        <w:rPr>
          <w:lang w:eastAsia="fr-FR"/>
        </w:rPr>
        <w:t>In fine, Le Triangle aurait toujours la possibilité de faire un emprunt sur 10 ans ou plus mais il faut savoir que cette charge serait reportée sur le calcul du coût de l’hébergement demandé aux familles. Nous souhaitons l’éviter autant que possible.</w:t>
      </w:r>
    </w:p>
    <w:p w14:paraId="35F56FCE" w14:textId="77777777" w:rsidR="0098285F" w:rsidRDefault="0098285F" w:rsidP="0098285F">
      <w:pPr>
        <w:rPr>
          <w:lang w:eastAsia="fr-FR"/>
        </w:rPr>
      </w:pPr>
    </w:p>
    <w:p w14:paraId="5A39A6B0" w14:textId="3BD82895" w:rsidR="0098285F" w:rsidRPr="00F52711" w:rsidRDefault="00F52711" w:rsidP="0098285F">
      <w:pPr>
        <w:rPr>
          <w:rFonts w:eastAsiaTheme="minorEastAsia"/>
          <w:bCs/>
          <w:noProof/>
          <w:lang w:eastAsia="fr-FR"/>
        </w:rPr>
      </w:pPr>
      <w:r>
        <w:rPr>
          <w:rFonts w:eastAsiaTheme="minorEastAsia"/>
          <w:bCs/>
          <w:noProof/>
          <w:lang w:eastAsia="fr-FR"/>
        </w:rPr>
        <w:t>Christian</w:t>
      </w:r>
    </w:p>
    <w:sectPr w:rsidR="0098285F" w:rsidRPr="00F52711" w:rsidSect="00F527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B6C41"/>
    <w:multiLevelType w:val="hybridMultilevel"/>
    <w:tmpl w:val="595441B8"/>
    <w:lvl w:ilvl="0" w:tplc="FA54FEDE">
      <w:start w:val="5"/>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BC757B"/>
    <w:multiLevelType w:val="hybridMultilevel"/>
    <w:tmpl w:val="C8AE69E4"/>
    <w:lvl w:ilvl="0" w:tplc="079C702C">
      <w:start w:val="1"/>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664B9A"/>
    <w:multiLevelType w:val="hybridMultilevel"/>
    <w:tmpl w:val="51D4AA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4076506">
    <w:abstractNumId w:val="0"/>
  </w:num>
  <w:num w:numId="2" w16cid:durableId="765272315">
    <w:abstractNumId w:val="1"/>
  </w:num>
  <w:num w:numId="3" w16cid:durableId="1373533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95"/>
    <w:rsid w:val="00597BF2"/>
    <w:rsid w:val="00624A34"/>
    <w:rsid w:val="006C5D54"/>
    <w:rsid w:val="0098285F"/>
    <w:rsid w:val="00B24695"/>
    <w:rsid w:val="00D407A6"/>
    <w:rsid w:val="00F52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628B"/>
  <w15:chartTrackingRefBased/>
  <w15:docId w15:val="{076823F2-96D9-4ED7-AD67-9C2A8341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4"/>
    <w:pPr>
      <w:spacing w:after="80"/>
    </w:pPr>
    <w:rPr>
      <w:rFonts w:asciiTheme="majorHAnsi" w:hAnsiTheme="majorHAnsi"/>
    </w:rPr>
  </w:style>
  <w:style w:type="paragraph" w:styleId="Titre1">
    <w:name w:val="heading 1"/>
    <w:basedOn w:val="Normal"/>
    <w:next w:val="Normal"/>
    <w:link w:val="Titre1Car"/>
    <w:uiPriority w:val="9"/>
    <w:qFormat/>
    <w:rsid w:val="0098285F"/>
    <w:pPr>
      <w:outlineLvl w:val="0"/>
    </w:pPr>
    <w:rPr>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285F"/>
    <w:rPr>
      <w:rFonts w:asciiTheme="majorHAnsi" w:hAnsiTheme="majorHAnsi"/>
      <w:b/>
      <w:bCs/>
      <w:sz w:val="24"/>
      <w:szCs w:val="24"/>
      <w:u w:val="single"/>
    </w:rPr>
  </w:style>
  <w:style w:type="paragraph" w:styleId="Paragraphedeliste">
    <w:name w:val="List Paragraph"/>
    <w:basedOn w:val="Normal"/>
    <w:uiPriority w:val="34"/>
    <w:qFormat/>
    <w:rsid w:val="0098285F"/>
    <w:pPr>
      <w:ind w:left="720"/>
      <w:contextualSpacing/>
    </w:pPr>
  </w:style>
  <w:style w:type="table" w:styleId="Grilledutableau">
    <w:name w:val="Table Grid"/>
    <w:basedOn w:val="TableauNormal"/>
    <w:uiPriority w:val="39"/>
    <w:rsid w:val="00982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178</Words>
  <Characters>982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GOBLET</dc:creator>
  <cp:keywords/>
  <dc:description/>
  <cp:lastModifiedBy>Christian GOBLET</cp:lastModifiedBy>
  <cp:revision>3</cp:revision>
  <dcterms:created xsi:type="dcterms:W3CDTF">2023-10-05T07:34:00Z</dcterms:created>
  <dcterms:modified xsi:type="dcterms:W3CDTF">2023-10-05T07:56:00Z</dcterms:modified>
</cp:coreProperties>
</file>